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0B16E" w14:textId="77777777" w:rsidR="000E3F74" w:rsidRPr="002F2263" w:rsidRDefault="000E3F74" w:rsidP="000E3F74">
      <w:pPr>
        <w:rPr>
          <w:rFonts w:ascii="ＭＳ 明朝" w:eastAsia="ＭＳ 明朝" w:hAnsi="ＭＳ 明朝"/>
          <w:szCs w:val="21"/>
        </w:rPr>
      </w:pPr>
      <w:r w:rsidRPr="002F2263">
        <w:rPr>
          <w:rFonts w:ascii="ＭＳ 明朝" w:eastAsia="ＭＳ 明朝" w:hAnsi="ＭＳ 明朝" w:hint="eastAsia"/>
          <w:szCs w:val="21"/>
        </w:rPr>
        <w:t>細則２－３　可搬式制御機器の使用に係る自主保安基準</w:t>
      </w:r>
    </w:p>
    <w:p w14:paraId="6751961B" w14:textId="77777777" w:rsidR="000E3F74" w:rsidRPr="002F2263" w:rsidRDefault="000E3F74" w:rsidP="000E3F74">
      <w:pPr>
        <w:rPr>
          <w:rFonts w:ascii="ＭＳ 明朝" w:eastAsia="ＭＳ 明朝" w:hAnsi="ＭＳ 明朝"/>
          <w:szCs w:val="21"/>
        </w:rPr>
      </w:pPr>
    </w:p>
    <w:tbl>
      <w:tblPr>
        <w:tblStyle w:val="a3"/>
        <w:tblW w:w="0" w:type="auto"/>
        <w:tblLook w:val="04A0" w:firstRow="1" w:lastRow="0" w:firstColumn="1" w:lastColumn="0" w:noHBand="0" w:noVBand="1"/>
      </w:tblPr>
      <w:tblGrid>
        <w:gridCol w:w="2396"/>
        <w:gridCol w:w="6098"/>
      </w:tblGrid>
      <w:tr w:rsidR="000E3F74" w:rsidRPr="002F2263" w14:paraId="5E279E6F" w14:textId="77777777" w:rsidTr="00F234A9">
        <w:tc>
          <w:tcPr>
            <w:tcW w:w="2665" w:type="dxa"/>
          </w:tcPr>
          <w:p w14:paraId="3FF86EAA" w14:textId="77777777" w:rsidR="000E3F74" w:rsidRPr="002F2263" w:rsidRDefault="000E3F74" w:rsidP="00F234A9">
            <w:pPr>
              <w:rPr>
                <w:rFonts w:ascii="ＭＳ 明朝" w:eastAsia="ＭＳ 明朝" w:hAnsi="ＭＳ 明朝"/>
                <w:szCs w:val="21"/>
              </w:rPr>
            </w:pPr>
            <w:r w:rsidRPr="002F2263">
              <w:rPr>
                <w:rFonts w:ascii="ＭＳ 明朝" w:eastAsia="ＭＳ 明朝" w:hAnsi="ＭＳ 明朝" w:hint="eastAsia"/>
                <w:szCs w:val="21"/>
              </w:rPr>
              <w:t>定める必要がある施設</w:t>
            </w:r>
          </w:p>
        </w:tc>
        <w:tc>
          <w:tcPr>
            <w:tcW w:w="6873" w:type="dxa"/>
          </w:tcPr>
          <w:p w14:paraId="38BA4CF8" w14:textId="77777777" w:rsidR="000E3F74" w:rsidRPr="002F2263" w:rsidRDefault="000E3F74" w:rsidP="00F234A9">
            <w:pPr>
              <w:rPr>
                <w:rFonts w:ascii="ＭＳ 明朝" w:eastAsia="ＭＳ 明朝" w:hAnsi="ＭＳ 明朝"/>
                <w:szCs w:val="21"/>
              </w:rPr>
            </w:pPr>
            <w:r w:rsidRPr="002F2263">
              <w:rPr>
                <w:rFonts w:ascii="ＭＳ 明朝" w:eastAsia="ＭＳ 明朝" w:hAnsi="ＭＳ 明朝" w:hint="eastAsia"/>
                <w:szCs w:val="21"/>
              </w:rPr>
              <w:t>顧客自らの給油作業等を制御するために可搬式制御機器を使用する顧客に自ら給油等をさせる給油取扱所</w:t>
            </w:r>
          </w:p>
        </w:tc>
      </w:tr>
    </w:tbl>
    <w:p w14:paraId="30F5E815" w14:textId="77777777" w:rsidR="000E3F74" w:rsidRPr="002F2263" w:rsidRDefault="000E3F74" w:rsidP="000E3F74">
      <w:pPr>
        <w:rPr>
          <w:rFonts w:ascii="ＭＳ 明朝" w:eastAsia="ＭＳ 明朝" w:hAnsi="ＭＳ 明朝"/>
          <w:szCs w:val="21"/>
        </w:rPr>
      </w:pPr>
    </w:p>
    <w:p w14:paraId="64D54CB6" w14:textId="77777777" w:rsidR="000E3F74" w:rsidRPr="002F2263" w:rsidRDefault="000E3F74" w:rsidP="000E3F74">
      <w:pPr>
        <w:rPr>
          <w:rFonts w:ascii="ＭＳ 明朝" w:eastAsia="ＭＳ 明朝" w:hAnsi="ＭＳ 明朝"/>
          <w:szCs w:val="21"/>
        </w:rPr>
      </w:pPr>
      <w:r w:rsidRPr="002F2263">
        <w:rPr>
          <w:rFonts w:ascii="ＭＳ 明朝" w:eastAsia="ＭＳ 明朝" w:hAnsi="ＭＳ 明朝" w:hint="eastAsia"/>
          <w:szCs w:val="21"/>
        </w:rPr>
        <w:t>第１　総則</w:t>
      </w:r>
    </w:p>
    <w:p w14:paraId="65ECCF36" w14:textId="77777777" w:rsidR="000E3F74" w:rsidRPr="002F2263" w:rsidRDefault="000E3F74" w:rsidP="000E3F74">
      <w:pPr>
        <w:ind w:firstLineChars="100" w:firstLine="210"/>
        <w:rPr>
          <w:rFonts w:ascii="ＭＳ 明朝" w:eastAsia="ＭＳ 明朝" w:hAnsi="ＭＳ 明朝"/>
          <w:szCs w:val="21"/>
        </w:rPr>
      </w:pPr>
      <w:r w:rsidRPr="002F2263">
        <w:rPr>
          <w:rFonts w:ascii="ＭＳ 明朝" w:eastAsia="ＭＳ 明朝" w:hAnsi="ＭＳ 明朝" w:hint="eastAsia"/>
          <w:szCs w:val="21"/>
        </w:rPr>
        <w:t>当所の可搬式制御機器を使用する顧客自らの給油作業等の監視業務は、本編及び関係する細則によるほか、第２で定める「可搬式制御機器の取扱い基準」に基づき行うものとする。</w:t>
      </w:r>
    </w:p>
    <w:p w14:paraId="48D63670" w14:textId="77777777" w:rsidR="000E3F74" w:rsidRPr="002F2263" w:rsidRDefault="000E3F74" w:rsidP="000E3F74">
      <w:pPr>
        <w:rPr>
          <w:rFonts w:ascii="ＭＳ 明朝" w:eastAsia="ＭＳ 明朝" w:hAnsi="ＭＳ 明朝"/>
          <w:szCs w:val="21"/>
        </w:rPr>
      </w:pPr>
    </w:p>
    <w:p w14:paraId="5CF34F23" w14:textId="77777777" w:rsidR="000E3F74" w:rsidRPr="002F2263" w:rsidRDefault="000E3F74" w:rsidP="000E3F74">
      <w:pPr>
        <w:rPr>
          <w:rFonts w:ascii="ＭＳ 明朝" w:eastAsia="ＭＳ 明朝" w:hAnsi="ＭＳ 明朝"/>
          <w:szCs w:val="21"/>
        </w:rPr>
      </w:pPr>
      <w:r w:rsidRPr="002F2263">
        <w:rPr>
          <w:rFonts w:ascii="ＭＳ 明朝" w:eastAsia="ＭＳ 明朝" w:hAnsi="ＭＳ 明朝" w:hint="eastAsia"/>
          <w:szCs w:val="21"/>
        </w:rPr>
        <w:t>第２　可搬式制御機器の取扱い基準</w:t>
      </w:r>
    </w:p>
    <w:p w14:paraId="0CFB0F81" w14:textId="0E8BCAAA" w:rsidR="000E3F74" w:rsidRPr="002F2263" w:rsidRDefault="000E3F74" w:rsidP="000E3F74">
      <w:pPr>
        <w:ind w:left="210" w:hangingChars="100" w:hanging="210"/>
        <w:rPr>
          <w:rFonts w:ascii="ＭＳ 明朝" w:eastAsia="ＭＳ 明朝" w:hAnsi="ＭＳ 明朝"/>
          <w:szCs w:val="21"/>
        </w:rPr>
      </w:pPr>
      <w:r w:rsidRPr="002F2263">
        <w:rPr>
          <w:rFonts w:ascii="ＭＳ 明朝" w:eastAsia="ＭＳ 明朝" w:hAnsi="ＭＳ 明朝" w:hint="eastAsia"/>
          <w:szCs w:val="21"/>
        </w:rPr>
        <w:t>１　可搬式制御機器は、防爆構造のもの又は</w:t>
      </w:r>
      <w:r w:rsidRPr="002F2263">
        <w:rPr>
          <w:rFonts w:ascii="ＭＳ 明朝" w:eastAsia="ＭＳ 明朝" w:hAnsi="ＭＳ 明朝" w:hint="eastAsia"/>
        </w:rPr>
        <w:t>「IEC 60950－1」、「JIS C 6950－1」、「IEC 62368－1」、「JIS C 62368－1」のうちいずれかの</w:t>
      </w:r>
      <w:r w:rsidR="00B02EB5">
        <w:rPr>
          <w:rFonts w:ascii="ＭＳ 明朝" w:eastAsia="ＭＳ 明朝" w:hAnsi="ＭＳ 明朝" w:hint="eastAsia"/>
        </w:rPr>
        <w:t>規格</w:t>
      </w:r>
      <w:r w:rsidRPr="002F2263">
        <w:rPr>
          <w:rFonts w:ascii="ＭＳ 明朝" w:eastAsia="ＭＳ 明朝" w:hAnsi="ＭＳ 明朝" w:hint="eastAsia"/>
          <w:szCs w:val="21"/>
        </w:rPr>
        <w:t>に適合したものを使用するものとする。</w:t>
      </w:r>
    </w:p>
    <w:p w14:paraId="1A2B7395" w14:textId="384E419D" w:rsidR="000E3F74" w:rsidRDefault="000E3F74" w:rsidP="000E3F74">
      <w:pPr>
        <w:ind w:left="210" w:hangingChars="100" w:hanging="210"/>
        <w:rPr>
          <w:rFonts w:ascii="ＭＳ 明朝" w:eastAsia="ＭＳ 明朝" w:hAnsi="ＭＳ 明朝"/>
          <w:szCs w:val="21"/>
        </w:rPr>
      </w:pPr>
      <w:r w:rsidRPr="002F2263">
        <w:rPr>
          <w:rFonts w:ascii="ＭＳ 明朝" w:eastAsia="ＭＳ 明朝" w:hAnsi="ＭＳ 明朝" w:hint="eastAsia"/>
          <w:szCs w:val="21"/>
        </w:rPr>
        <w:t xml:space="preserve">２　</w:t>
      </w:r>
      <w:r w:rsidRPr="002F2263">
        <w:rPr>
          <w:rFonts w:ascii="ＭＳ 明朝" w:eastAsia="ＭＳ 明朝" w:hAnsi="ＭＳ 明朝" w:hint="eastAsia"/>
          <w:color w:val="000000"/>
          <w:szCs w:val="21"/>
        </w:rPr>
        <w:t>可搬式制御機器は、肩掛け紐付きカバー又はアームバンドによる落下防止</w:t>
      </w:r>
      <w:r w:rsidR="008C7CA4">
        <w:rPr>
          <w:rFonts w:ascii="ＭＳ 明朝" w:eastAsia="ＭＳ 明朝" w:hAnsi="ＭＳ 明朝" w:hint="eastAsia"/>
          <w:color w:val="000000"/>
          <w:szCs w:val="21"/>
        </w:rPr>
        <w:t>の保護</w:t>
      </w:r>
      <w:r w:rsidRPr="002F2263">
        <w:rPr>
          <w:rFonts w:ascii="ＭＳ 明朝" w:eastAsia="ＭＳ 明朝" w:hAnsi="ＭＳ 明朝" w:hint="eastAsia"/>
          <w:color w:val="000000"/>
          <w:szCs w:val="21"/>
        </w:rPr>
        <w:t>措置を講じるものとする</w:t>
      </w:r>
      <w:r w:rsidRPr="002F2263">
        <w:rPr>
          <w:rFonts w:ascii="ＭＳ 明朝" w:eastAsia="ＭＳ 明朝" w:hAnsi="ＭＳ 明朝" w:hint="eastAsia"/>
          <w:szCs w:val="21"/>
        </w:rPr>
        <w:t>。</w:t>
      </w:r>
    </w:p>
    <w:p w14:paraId="60888129" w14:textId="77777777" w:rsidR="008C7CA4" w:rsidRPr="00E26251" w:rsidRDefault="008C7CA4" w:rsidP="008C7CA4">
      <w:pPr>
        <w:ind w:left="210" w:hangingChars="100" w:hanging="210"/>
        <w:rPr>
          <w:rFonts w:ascii="ＭＳ 明朝" w:eastAsia="ＭＳ 明朝" w:hAnsi="ＭＳ 明朝"/>
          <w:szCs w:val="21"/>
        </w:rPr>
      </w:pPr>
      <w:r>
        <w:rPr>
          <w:rFonts w:ascii="ＭＳ 明朝" w:eastAsia="ＭＳ 明朝" w:hAnsi="ＭＳ 明朝" w:hint="eastAsia"/>
          <w:szCs w:val="21"/>
        </w:rPr>
        <w:t xml:space="preserve">３　</w:t>
      </w:r>
      <w:r w:rsidRPr="002F2263">
        <w:rPr>
          <w:rFonts w:ascii="ＭＳ 明朝" w:eastAsia="ＭＳ 明朝" w:hAnsi="ＭＳ 明朝" w:hint="eastAsia"/>
          <w:color w:val="000000"/>
          <w:szCs w:val="21"/>
        </w:rPr>
        <w:t>可搬式制御機器は、</w:t>
      </w:r>
      <w:r w:rsidRPr="00E26251">
        <w:rPr>
          <w:rFonts w:ascii="ＭＳ 明朝" w:eastAsia="ＭＳ 明朝" w:hAnsi="ＭＳ 明朝" w:hint="eastAsia"/>
          <w:szCs w:val="21"/>
        </w:rPr>
        <w:t>当所内のみで使用するものとする。</w:t>
      </w:r>
    </w:p>
    <w:p w14:paraId="39EA7018" w14:textId="58691E82" w:rsidR="000E3F74" w:rsidRDefault="008C7CA4" w:rsidP="000E3F74">
      <w:pPr>
        <w:ind w:left="210" w:hangingChars="100" w:hanging="210"/>
        <w:rPr>
          <w:rFonts w:ascii="ＭＳ 明朝" w:eastAsia="ＭＳ 明朝" w:hAnsi="ＭＳ 明朝"/>
          <w:szCs w:val="21"/>
        </w:rPr>
      </w:pPr>
      <w:r>
        <w:rPr>
          <w:rFonts w:ascii="ＭＳ 明朝" w:eastAsia="ＭＳ 明朝" w:hAnsi="ＭＳ 明朝" w:hint="eastAsia"/>
          <w:szCs w:val="21"/>
        </w:rPr>
        <w:t>４</w:t>
      </w:r>
      <w:r w:rsidR="000E3F74" w:rsidRPr="002F2263">
        <w:rPr>
          <w:rFonts w:ascii="ＭＳ 明朝" w:eastAsia="ＭＳ 明朝" w:hAnsi="ＭＳ 明朝" w:hint="eastAsia"/>
          <w:szCs w:val="21"/>
        </w:rPr>
        <w:t xml:space="preserve">　火災等の災害発生時は、安全が</w:t>
      </w:r>
      <w:r w:rsidR="00B02EB5">
        <w:rPr>
          <w:rFonts w:ascii="ＭＳ 明朝" w:eastAsia="ＭＳ 明朝" w:hAnsi="ＭＳ 明朝" w:hint="eastAsia"/>
          <w:szCs w:val="21"/>
        </w:rPr>
        <w:t>確認</w:t>
      </w:r>
      <w:r w:rsidR="000E3F74" w:rsidRPr="002F2263">
        <w:rPr>
          <w:rFonts w:ascii="ＭＳ 明朝" w:eastAsia="ＭＳ 明朝" w:hAnsi="ＭＳ 明朝" w:hint="eastAsia"/>
          <w:szCs w:val="21"/>
        </w:rPr>
        <w:t>されるまで</w:t>
      </w:r>
      <w:r w:rsidR="000E3F74" w:rsidRPr="002F2263">
        <w:rPr>
          <w:rFonts w:ascii="ＭＳ 明朝" w:eastAsia="ＭＳ 明朝" w:hAnsi="ＭＳ 明朝" w:hint="eastAsia"/>
          <w:color w:val="000000"/>
          <w:szCs w:val="21"/>
        </w:rPr>
        <w:t>可搬式制御機器を</w:t>
      </w:r>
      <w:r w:rsidR="000E3F74" w:rsidRPr="002F2263">
        <w:rPr>
          <w:rFonts w:ascii="ＭＳ 明朝" w:eastAsia="ＭＳ 明朝" w:hAnsi="ＭＳ 明朝" w:hint="eastAsia"/>
          <w:szCs w:val="21"/>
        </w:rPr>
        <w:t>使用しないものとする。</w:t>
      </w:r>
    </w:p>
    <w:p w14:paraId="53C434EC" w14:textId="5A676251" w:rsidR="008C7CA4" w:rsidRPr="002F2263" w:rsidRDefault="008C7CA4" w:rsidP="000E3F74">
      <w:pPr>
        <w:ind w:left="210" w:hangingChars="100" w:hanging="210"/>
        <w:rPr>
          <w:rFonts w:ascii="ＭＳ 明朝" w:eastAsia="ＭＳ 明朝" w:hAnsi="ＭＳ 明朝"/>
          <w:szCs w:val="21"/>
        </w:rPr>
      </w:pPr>
      <w:r>
        <w:rPr>
          <w:rFonts w:ascii="ＭＳ 明朝" w:eastAsia="ＭＳ 明朝" w:hAnsi="ＭＳ 明朝" w:hint="eastAsia"/>
          <w:szCs w:val="21"/>
        </w:rPr>
        <w:t xml:space="preserve">５　</w:t>
      </w:r>
      <w:r w:rsidRPr="00E26251">
        <w:rPr>
          <w:rFonts w:ascii="ＭＳ 明朝" w:eastAsia="ＭＳ 明朝" w:hAnsi="ＭＳ 明朝" w:hint="eastAsia"/>
          <w:szCs w:val="21"/>
        </w:rPr>
        <w:t>所長は、１から４が遵守されるように管理するものとする。</w:t>
      </w:r>
    </w:p>
    <w:p w14:paraId="7DC12584" w14:textId="7A3AEF86" w:rsidR="000E3F74" w:rsidRPr="002F2263" w:rsidRDefault="008C7CA4" w:rsidP="000E3F74">
      <w:pPr>
        <w:ind w:left="210" w:hangingChars="100" w:hanging="210"/>
        <w:rPr>
          <w:rFonts w:ascii="ＭＳ 明朝" w:eastAsia="ＭＳ 明朝" w:hAnsi="ＭＳ 明朝"/>
          <w:szCs w:val="21"/>
        </w:rPr>
      </w:pPr>
      <w:r>
        <w:rPr>
          <w:rFonts w:ascii="ＭＳ 明朝" w:eastAsia="ＭＳ 明朝" w:hAnsi="ＭＳ 明朝" w:hint="eastAsia"/>
          <w:szCs w:val="21"/>
        </w:rPr>
        <w:t>６</w:t>
      </w:r>
      <w:r w:rsidR="000E3F74" w:rsidRPr="002F2263">
        <w:rPr>
          <w:rFonts w:ascii="ＭＳ 明朝" w:eastAsia="ＭＳ 明朝" w:hAnsi="ＭＳ 明朝" w:hint="eastAsia"/>
          <w:szCs w:val="21"/>
        </w:rPr>
        <w:t xml:space="preserve">　火災発生時に迅速に初期消火できるように、消火器の設置場所が適正であることを日頃から確認するものとする。</w:t>
      </w:r>
    </w:p>
    <w:p w14:paraId="6EEFD62A" w14:textId="378D1C31" w:rsidR="000E3F74" w:rsidRPr="002F2263" w:rsidRDefault="008C7CA4" w:rsidP="000E3F74">
      <w:pPr>
        <w:ind w:left="210" w:hangingChars="100" w:hanging="210"/>
        <w:jc w:val="left"/>
        <w:rPr>
          <w:rFonts w:ascii="ＭＳ 明朝" w:eastAsia="ＭＳ 明朝" w:hAnsi="ＭＳ 明朝"/>
          <w:szCs w:val="21"/>
        </w:rPr>
      </w:pPr>
      <w:r>
        <w:rPr>
          <w:rFonts w:ascii="ＭＳ 明朝" w:eastAsia="ＭＳ 明朝" w:hAnsi="ＭＳ 明朝" w:hint="eastAsia"/>
          <w:szCs w:val="21"/>
        </w:rPr>
        <w:t>７</w:t>
      </w:r>
      <w:r w:rsidR="000E3F74" w:rsidRPr="002F2263">
        <w:rPr>
          <w:rFonts w:ascii="ＭＳ 明朝" w:eastAsia="ＭＳ 明朝" w:hAnsi="ＭＳ 明朝" w:hint="eastAsia"/>
          <w:szCs w:val="21"/>
        </w:rPr>
        <w:t xml:space="preserve">　所長は、</w:t>
      </w:r>
      <w:r w:rsidR="00DE0714">
        <w:rPr>
          <w:rFonts w:ascii="ＭＳ 明朝" w:eastAsia="ＭＳ 明朝" w:hAnsi="ＭＳ 明朝" w:hint="eastAsia"/>
          <w:szCs w:val="21"/>
        </w:rPr>
        <w:t>可搬式制御機器を使用する危険物取扱者等に対して</w:t>
      </w:r>
      <w:bookmarkStart w:id="0" w:name="_GoBack"/>
      <w:bookmarkEnd w:id="0"/>
      <w:r w:rsidR="000E3F74" w:rsidRPr="002F2263">
        <w:rPr>
          <w:rFonts w:ascii="ＭＳ 明朝" w:eastAsia="ＭＳ 明朝" w:hAnsi="ＭＳ 明朝" w:hint="eastAsia"/>
          <w:szCs w:val="21"/>
        </w:rPr>
        <w:t>災害発生時における応急対応を含め可搬式制御機器を運用するために必要な教育及び訓練を行うものとする。</w:t>
      </w:r>
    </w:p>
    <w:p w14:paraId="468C0D6A" w14:textId="5B712DAB" w:rsidR="00E13EA9" w:rsidRDefault="008C7CA4" w:rsidP="00F90386">
      <w:pPr>
        <w:ind w:left="210" w:hangingChars="100" w:hanging="210"/>
        <w:jc w:val="left"/>
        <w:rPr>
          <w:rFonts w:ascii="ＭＳ 明朝" w:eastAsia="ＭＳ 明朝" w:hAnsi="ＭＳ 明朝"/>
          <w:szCs w:val="21"/>
        </w:rPr>
      </w:pPr>
      <w:r w:rsidRPr="00F90386">
        <w:rPr>
          <w:rFonts w:ascii="ＭＳ 明朝" w:eastAsia="ＭＳ 明朝" w:hAnsi="ＭＳ 明朝" w:hint="eastAsia"/>
          <w:szCs w:val="21"/>
        </w:rPr>
        <w:t xml:space="preserve">８　</w:t>
      </w:r>
      <w:r w:rsidR="000E3F74" w:rsidRPr="00F90386">
        <w:rPr>
          <w:rFonts w:ascii="ＭＳ 明朝" w:eastAsia="ＭＳ 明朝" w:hAnsi="ＭＳ 明朝" w:hint="eastAsia"/>
          <w:szCs w:val="21"/>
        </w:rPr>
        <w:t>制御卓に監視者がおらず、可搬式制御機器で給油許可を出す場合は、直接顧客の給油等の状況を視認した上で行うものとする。</w:t>
      </w:r>
    </w:p>
    <w:p w14:paraId="1FF1D37D" w14:textId="310AAED3" w:rsidR="00183921" w:rsidRPr="003619DE" w:rsidRDefault="00183921" w:rsidP="00F90386">
      <w:pPr>
        <w:ind w:left="210" w:hangingChars="100" w:hanging="210"/>
        <w:jc w:val="left"/>
        <w:rPr>
          <w:rFonts w:ascii="ＭＳ 明朝" w:eastAsia="ＭＳ 明朝" w:hAnsi="ＭＳ 明朝"/>
          <w:color w:val="0070C0"/>
          <w:u w:val="single"/>
        </w:rPr>
      </w:pPr>
      <w:r w:rsidRPr="003619DE">
        <w:rPr>
          <w:rFonts w:ascii="ＭＳ 明朝" w:eastAsia="ＭＳ 明朝" w:hAnsi="ＭＳ 明朝" w:hint="eastAsia"/>
          <w:color w:val="0070C0"/>
          <w:szCs w:val="21"/>
          <w:u w:val="single"/>
        </w:rPr>
        <w:t>９　その他</w:t>
      </w:r>
    </w:p>
    <w:sectPr w:rsidR="00183921" w:rsidRPr="003619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3FAA5" w14:textId="77777777" w:rsidR="004E6DB3" w:rsidRDefault="004E6DB3" w:rsidP="00431C11">
      <w:r>
        <w:separator/>
      </w:r>
    </w:p>
  </w:endnote>
  <w:endnote w:type="continuationSeparator" w:id="0">
    <w:p w14:paraId="4D7BB65B" w14:textId="77777777" w:rsidR="004E6DB3" w:rsidRDefault="004E6DB3" w:rsidP="0043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5D655" w14:textId="77777777" w:rsidR="004E6DB3" w:rsidRDefault="004E6DB3" w:rsidP="00431C11">
      <w:r>
        <w:separator/>
      </w:r>
    </w:p>
  </w:footnote>
  <w:footnote w:type="continuationSeparator" w:id="0">
    <w:p w14:paraId="01BC0263" w14:textId="77777777" w:rsidR="004E6DB3" w:rsidRDefault="004E6DB3" w:rsidP="00431C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F74"/>
    <w:rsid w:val="000E3F74"/>
    <w:rsid w:val="00183921"/>
    <w:rsid w:val="001A1975"/>
    <w:rsid w:val="00221082"/>
    <w:rsid w:val="002F2263"/>
    <w:rsid w:val="0030701E"/>
    <w:rsid w:val="003144C4"/>
    <w:rsid w:val="003619DE"/>
    <w:rsid w:val="00431C11"/>
    <w:rsid w:val="004C7BD9"/>
    <w:rsid w:val="004E6DB3"/>
    <w:rsid w:val="005668FE"/>
    <w:rsid w:val="008C7CA4"/>
    <w:rsid w:val="00A5573F"/>
    <w:rsid w:val="00B02EB5"/>
    <w:rsid w:val="00B37F9C"/>
    <w:rsid w:val="00C51069"/>
    <w:rsid w:val="00DE0714"/>
    <w:rsid w:val="00E13EA9"/>
    <w:rsid w:val="00F90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72B0ADC"/>
  <w15:chartTrackingRefBased/>
  <w15:docId w15:val="{29D20B64-1972-406A-B969-FB7F49CBF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01E"/>
    <w:pPr>
      <w:widowControl w:val="0"/>
      <w:jc w:val="both"/>
    </w:pPr>
    <w:rPr>
      <w:rFonts w:asciiTheme="minorEastAsia"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0E3F74"/>
    <w:rPr>
      <w:rFonts w:asciiTheme="minorEastAsia"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link w:val="a5"/>
    <w:uiPriority w:val="99"/>
    <w:unhideWhenUsed/>
    <w:qFormat/>
    <w:rsid w:val="000E3F74"/>
    <w:pPr>
      <w:ind w:left="210" w:hangingChars="100" w:hanging="210"/>
      <w:jc w:val="left"/>
    </w:pPr>
    <w:rPr>
      <w:rFonts w:asciiTheme="minorHAnsi"/>
      <w:kern w:val="0"/>
    </w:rPr>
  </w:style>
  <w:style w:type="character" w:customStyle="1" w:styleId="a5">
    <w:name w:val="コメント文字列 (文字)"/>
    <w:basedOn w:val="a0"/>
    <w:link w:val="a4"/>
    <w:uiPriority w:val="99"/>
    <w:qFormat/>
    <w:rsid w:val="000E3F74"/>
    <w:rPr>
      <w:rFonts w:asciiTheme="minorHAnsi" w:eastAsiaTheme="minorEastAsia"/>
      <w:kern w:val="0"/>
    </w:rPr>
  </w:style>
  <w:style w:type="character" w:styleId="a6">
    <w:name w:val="annotation reference"/>
    <w:basedOn w:val="a0"/>
    <w:uiPriority w:val="99"/>
    <w:unhideWhenUsed/>
    <w:qFormat/>
    <w:rsid w:val="000E3F74"/>
    <w:rPr>
      <w:sz w:val="18"/>
      <w:szCs w:val="18"/>
    </w:rPr>
  </w:style>
  <w:style w:type="paragraph" w:styleId="a7">
    <w:name w:val="Balloon Text"/>
    <w:basedOn w:val="a"/>
    <w:link w:val="a8"/>
    <w:uiPriority w:val="99"/>
    <w:semiHidden/>
    <w:unhideWhenUsed/>
    <w:rsid w:val="000E3F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E3F74"/>
    <w:rPr>
      <w:rFonts w:asciiTheme="majorHAnsi" w:eastAsiaTheme="majorEastAsia" w:hAnsiTheme="majorHAnsi" w:cstheme="majorBidi"/>
      <w:sz w:val="18"/>
      <w:szCs w:val="18"/>
    </w:rPr>
  </w:style>
  <w:style w:type="paragraph" w:styleId="a9">
    <w:name w:val="header"/>
    <w:basedOn w:val="a"/>
    <w:link w:val="aa"/>
    <w:uiPriority w:val="99"/>
    <w:unhideWhenUsed/>
    <w:rsid w:val="00431C11"/>
    <w:pPr>
      <w:tabs>
        <w:tab w:val="center" w:pos="4252"/>
        <w:tab w:val="right" w:pos="8504"/>
      </w:tabs>
      <w:snapToGrid w:val="0"/>
    </w:pPr>
  </w:style>
  <w:style w:type="character" w:customStyle="1" w:styleId="aa">
    <w:name w:val="ヘッダー (文字)"/>
    <w:basedOn w:val="a0"/>
    <w:link w:val="a9"/>
    <w:uiPriority w:val="99"/>
    <w:rsid w:val="00431C11"/>
    <w:rPr>
      <w:rFonts w:asciiTheme="minorEastAsia" w:eastAsiaTheme="minorEastAsia"/>
    </w:rPr>
  </w:style>
  <w:style w:type="paragraph" w:styleId="ab">
    <w:name w:val="footer"/>
    <w:basedOn w:val="a"/>
    <w:link w:val="ac"/>
    <w:uiPriority w:val="99"/>
    <w:unhideWhenUsed/>
    <w:rsid w:val="00431C11"/>
    <w:pPr>
      <w:tabs>
        <w:tab w:val="center" w:pos="4252"/>
        <w:tab w:val="right" w:pos="8504"/>
      </w:tabs>
      <w:snapToGrid w:val="0"/>
    </w:pPr>
  </w:style>
  <w:style w:type="character" w:customStyle="1" w:styleId="ac">
    <w:name w:val="フッター (文字)"/>
    <w:basedOn w:val="a0"/>
    <w:link w:val="ab"/>
    <w:uiPriority w:val="99"/>
    <w:rsid w:val="00431C11"/>
    <w:rPr>
      <w:rFonts w:asciiTheme="minorEastAsia" w:eastAsiaTheme="minorEastAsia"/>
    </w:rPr>
  </w:style>
  <w:style w:type="paragraph" w:styleId="ad">
    <w:name w:val="annotation subject"/>
    <w:basedOn w:val="a4"/>
    <w:next w:val="a4"/>
    <w:link w:val="ae"/>
    <w:uiPriority w:val="99"/>
    <w:semiHidden/>
    <w:unhideWhenUsed/>
    <w:rsid w:val="00431C11"/>
    <w:pPr>
      <w:ind w:left="0" w:firstLineChars="0" w:firstLine="0"/>
    </w:pPr>
    <w:rPr>
      <w:rFonts w:asciiTheme="minorEastAsia"/>
      <w:b/>
      <w:bCs/>
      <w:kern w:val="2"/>
    </w:rPr>
  </w:style>
  <w:style w:type="character" w:customStyle="1" w:styleId="ae">
    <w:name w:val="コメント内容 (文字)"/>
    <w:basedOn w:val="a5"/>
    <w:link w:val="ad"/>
    <w:uiPriority w:val="99"/>
    <w:semiHidden/>
    <w:rsid w:val="00431C11"/>
    <w:rPr>
      <w:rFonts w:asciiTheme="minorEastAsia" w:eastAsiaTheme="minorEastAsia"/>
      <w:b/>
      <w:bC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情報通信課</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アドバイス</dc:creator>
  <cp:keywords/>
  <dc:description/>
  <cp:lastModifiedBy>宮内</cp:lastModifiedBy>
  <cp:revision>2</cp:revision>
  <dcterms:created xsi:type="dcterms:W3CDTF">2022-06-06T04:04:00Z</dcterms:created>
  <dcterms:modified xsi:type="dcterms:W3CDTF">2022-06-06T04:04:00Z</dcterms:modified>
</cp:coreProperties>
</file>